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64" w:rsidRDefault="00256164" w:rsidP="00256164">
      <w:pPr>
        <w:pStyle w:val="NormalnyWeb"/>
        <w:jc w:val="center"/>
      </w:pPr>
      <w:r>
        <w:rPr>
          <w:b/>
          <w:bCs/>
        </w:rPr>
        <w:t>UCHWAŁA nr XXVI/145/13</w:t>
      </w:r>
      <w:r>
        <w:t xml:space="preserve"> </w:t>
      </w:r>
    </w:p>
    <w:p w:rsidR="00256164" w:rsidRDefault="00256164" w:rsidP="00256164">
      <w:pPr>
        <w:pStyle w:val="NormalnyWeb"/>
        <w:jc w:val="center"/>
      </w:pPr>
      <w:r>
        <w:rPr>
          <w:b/>
          <w:bCs/>
        </w:rPr>
        <w:t>RADY GMINY NOWOGRÓDEK POMORSKI</w:t>
      </w:r>
      <w:r>
        <w:t xml:space="preserve"> </w:t>
      </w:r>
    </w:p>
    <w:p w:rsidR="00256164" w:rsidRDefault="00256164" w:rsidP="00256164">
      <w:pPr>
        <w:pStyle w:val="NormalnyWeb"/>
        <w:jc w:val="center"/>
      </w:pPr>
      <w:r>
        <w:rPr>
          <w:b/>
          <w:bCs/>
        </w:rPr>
        <w:t>z dnia 14 listopada 2013 r.</w:t>
      </w:r>
      <w:r>
        <w:t xml:space="preserve"> </w:t>
      </w:r>
    </w:p>
    <w:p w:rsidR="00256164" w:rsidRDefault="00256164" w:rsidP="00256164">
      <w:pPr>
        <w:pStyle w:val="NormalnyWeb"/>
      </w:pPr>
      <w:r>
        <w:rPr>
          <w:b/>
          <w:bCs/>
        </w:rPr>
        <w:t>w sprawie określenia wysokości stawek podatku od nieruchomości na 2014 rok</w:t>
      </w:r>
      <w:r>
        <w:t xml:space="preserve"> </w:t>
      </w:r>
    </w:p>
    <w:p w:rsidR="00256164" w:rsidRDefault="00256164" w:rsidP="00256164">
      <w:pPr>
        <w:pStyle w:val="NormalnyWeb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8 ustawy z dnia 8 marca 1990 r. o samorządzie gminnym (</w:t>
      </w:r>
      <w:proofErr w:type="spellStart"/>
      <w:r>
        <w:t>Dz.U</w:t>
      </w:r>
      <w:proofErr w:type="spellEnd"/>
      <w:r>
        <w:t xml:space="preserve">. z 2013 r. poz. 594 ze zm.), art. 5 ust. 1, art. 6 ust. 12 ustawy z dnia 12 stycznia 1991 r. </w:t>
      </w:r>
      <w:r>
        <w:br/>
        <w:t>o podatkach i opłatach lokalnych</w:t>
      </w:r>
      <w:r>
        <w:rPr>
          <w:vertAlign w:val="superscript"/>
        </w:rPr>
        <w:t>1</w:t>
      </w:r>
      <w:r>
        <w:t xml:space="preserve"> (</w:t>
      </w:r>
      <w:proofErr w:type="spellStart"/>
      <w:r>
        <w:t>Dz.U</w:t>
      </w:r>
      <w:proofErr w:type="spellEnd"/>
      <w:r>
        <w:t xml:space="preserve">. z 2010 r. Nr 95, poz. 613 ze zm.) uchwala się </w:t>
      </w:r>
      <w:r>
        <w:br/>
        <w:t xml:space="preserve">co następuje: </w:t>
      </w:r>
    </w:p>
    <w:p w:rsidR="00256164" w:rsidRDefault="00256164" w:rsidP="00256164">
      <w:pPr>
        <w:pStyle w:val="NormalnyWeb"/>
      </w:pPr>
      <w:r>
        <w:rPr>
          <w:b/>
          <w:bCs/>
        </w:rPr>
        <w:t>§ 1.</w:t>
      </w:r>
      <w:r>
        <w:t xml:space="preserve"> Określa się roczne stawki podatku od nieruchomości: </w:t>
      </w:r>
    </w:p>
    <w:p w:rsidR="00256164" w:rsidRDefault="00256164" w:rsidP="00256164">
      <w:pPr>
        <w:pStyle w:val="NormalnyWeb"/>
      </w:pPr>
      <w:r>
        <w:rPr>
          <w:b/>
          <w:bCs/>
        </w:rPr>
        <w:t xml:space="preserve">1) od budynków lub ich części: </w:t>
      </w:r>
    </w:p>
    <w:p w:rsidR="00256164" w:rsidRDefault="00256164" w:rsidP="00256164">
      <w:pPr>
        <w:pStyle w:val="NormalnyWeb"/>
      </w:pPr>
      <w:r>
        <w:t>a) mieszkalnych od 1 m</w:t>
      </w:r>
      <w:r>
        <w:rPr>
          <w:vertAlign w:val="superscript"/>
        </w:rPr>
        <w:t>2</w:t>
      </w:r>
      <w:r>
        <w:t xml:space="preserve"> powierzchni użytkowej 0,67 zł </w:t>
      </w:r>
    </w:p>
    <w:p w:rsidR="00256164" w:rsidRDefault="00256164" w:rsidP="00256164">
      <w:pPr>
        <w:pStyle w:val="NormalnyWeb"/>
      </w:pPr>
      <w:r>
        <w:t xml:space="preserve">b) związanych z prowadzeniem działalności gospodarczej oraz od budynków </w:t>
      </w:r>
    </w:p>
    <w:p w:rsidR="00256164" w:rsidRDefault="00256164" w:rsidP="00256164">
      <w:pPr>
        <w:pStyle w:val="NormalnyWeb"/>
      </w:pPr>
      <w:r>
        <w:t xml:space="preserve">mieszkalnych lub ich części zajętych na prowadzenie działalności </w:t>
      </w:r>
    </w:p>
    <w:p w:rsidR="00256164" w:rsidRDefault="00256164" w:rsidP="00256164">
      <w:pPr>
        <w:pStyle w:val="NormalnyWeb"/>
      </w:pPr>
      <w:r>
        <w:t>gospodarczej od 1 m</w:t>
      </w:r>
      <w:r>
        <w:rPr>
          <w:vertAlign w:val="superscript"/>
        </w:rPr>
        <w:t>2</w:t>
      </w:r>
      <w:r>
        <w:t xml:space="preserve"> powierzchni użytkowej 20,71 zł </w:t>
      </w:r>
    </w:p>
    <w:p w:rsidR="00256164" w:rsidRDefault="00256164" w:rsidP="00256164">
      <w:pPr>
        <w:pStyle w:val="NormalnyWeb"/>
      </w:pPr>
      <w:r>
        <w:t xml:space="preserve">c) zajętych na prowadzenie działalności gospodarczej w zakresie obrotu </w:t>
      </w:r>
    </w:p>
    <w:p w:rsidR="00256164" w:rsidRDefault="00256164" w:rsidP="00256164">
      <w:pPr>
        <w:pStyle w:val="NormalnyWeb"/>
      </w:pPr>
      <w:r>
        <w:t>kwalifikowanym materiałem siewnym od 1 m</w:t>
      </w:r>
      <w:r>
        <w:rPr>
          <w:vertAlign w:val="superscript"/>
        </w:rPr>
        <w:t>2</w:t>
      </w:r>
      <w:r>
        <w:t xml:space="preserve"> powierzchni użytkowej 10,71 zł </w:t>
      </w:r>
    </w:p>
    <w:p w:rsidR="00256164" w:rsidRDefault="00256164" w:rsidP="00256164">
      <w:pPr>
        <w:pStyle w:val="NormalnyWeb"/>
      </w:pPr>
      <w:r>
        <w:t xml:space="preserve">d) związanych z udzielaniem świadczeń zdrowotnych w rozumieniu </w:t>
      </w:r>
    </w:p>
    <w:p w:rsidR="00256164" w:rsidRDefault="00256164" w:rsidP="00256164">
      <w:pPr>
        <w:pStyle w:val="NormalnyWeb"/>
      </w:pPr>
      <w:r>
        <w:t xml:space="preserve">przepisów o działalności leczniczej, zajętych przez podmioty udzielające </w:t>
      </w:r>
    </w:p>
    <w:p w:rsidR="00256164" w:rsidRDefault="00256164" w:rsidP="00256164">
      <w:pPr>
        <w:pStyle w:val="NormalnyWeb"/>
      </w:pPr>
      <w:r>
        <w:t>tych świadczeń od 1 m</w:t>
      </w:r>
      <w:r>
        <w:rPr>
          <w:vertAlign w:val="superscript"/>
        </w:rPr>
        <w:t>2</w:t>
      </w:r>
      <w:r>
        <w:t xml:space="preserve"> powierzchni użytkowej 4,23 zł </w:t>
      </w:r>
    </w:p>
    <w:p w:rsidR="00256164" w:rsidRDefault="00256164" w:rsidP="00256164">
      <w:pPr>
        <w:pStyle w:val="NormalnyWeb"/>
      </w:pPr>
      <w:r>
        <w:t xml:space="preserve">e) pozostałych, w tym zajętych na prowadzenie odpłatnej statutowej </w:t>
      </w:r>
    </w:p>
    <w:p w:rsidR="00256164" w:rsidRDefault="00256164" w:rsidP="00256164">
      <w:pPr>
        <w:pStyle w:val="NormalnyWeb"/>
      </w:pPr>
      <w:r>
        <w:t xml:space="preserve">działalności pożytku publicznego przez organizacje pożytku publicznego </w:t>
      </w:r>
    </w:p>
    <w:p w:rsidR="00256164" w:rsidRDefault="00256164" w:rsidP="00256164">
      <w:pPr>
        <w:pStyle w:val="NormalnyWeb"/>
      </w:pPr>
      <w:r>
        <w:t>od 1 m</w:t>
      </w:r>
      <w:r>
        <w:rPr>
          <w:vertAlign w:val="superscript"/>
        </w:rPr>
        <w:t>2</w:t>
      </w:r>
      <w:r>
        <w:t xml:space="preserve"> powierzchni użytkowej (budynki gospodarcze, garaże, szopy) 4,64 zł </w:t>
      </w:r>
    </w:p>
    <w:p w:rsidR="00256164" w:rsidRDefault="00256164" w:rsidP="00256164">
      <w:pPr>
        <w:pStyle w:val="NormalnyWeb"/>
      </w:pPr>
      <w:r>
        <w:t>- budynki letniskowe od 1 m</w:t>
      </w:r>
      <w:r>
        <w:rPr>
          <w:vertAlign w:val="superscript"/>
        </w:rPr>
        <w:t>2</w:t>
      </w:r>
      <w:r>
        <w:t xml:space="preserve"> powierzchni użytkowej 7,69 zł </w:t>
      </w:r>
    </w:p>
    <w:p w:rsidR="00256164" w:rsidRDefault="00256164" w:rsidP="00256164">
      <w:pPr>
        <w:pStyle w:val="NormalnyWeb"/>
      </w:pPr>
      <w:r>
        <w:t xml:space="preserve">f) od budowli 2% ich wartości, określonej na podstawie art. 4 ust.1 </w:t>
      </w:r>
      <w:proofErr w:type="spellStart"/>
      <w:r>
        <w:t>pkt</w:t>
      </w:r>
      <w:proofErr w:type="spellEnd"/>
      <w:r>
        <w:t xml:space="preserve"> 3 oraz ust. 3-7 ustawy </w:t>
      </w:r>
    </w:p>
    <w:p w:rsidR="00256164" w:rsidRDefault="00256164" w:rsidP="00256164">
      <w:pPr>
        <w:pStyle w:val="NormalnyWeb"/>
      </w:pPr>
      <w:r>
        <w:rPr>
          <w:b/>
          <w:bCs/>
        </w:rPr>
        <w:t>2) od gruntów:</w:t>
      </w:r>
      <w:r>
        <w:t xml:space="preserve"> </w:t>
      </w:r>
    </w:p>
    <w:p w:rsidR="00256164" w:rsidRDefault="00256164" w:rsidP="00256164">
      <w:pPr>
        <w:pStyle w:val="NormalnyWeb"/>
      </w:pPr>
      <w:r>
        <w:t xml:space="preserve">a) związanych z prowadzeniem działalności gospodarczej, bez względu na sposób </w:t>
      </w:r>
    </w:p>
    <w:p w:rsidR="00256164" w:rsidRDefault="00256164" w:rsidP="00256164">
      <w:pPr>
        <w:pStyle w:val="NormalnyWeb"/>
      </w:pPr>
      <w:r>
        <w:t>zakwalifikowania w ewidencji gruntów i budynków od 1 m</w:t>
      </w:r>
      <w:r>
        <w:rPr>
          <w:vertAlign w:val="superscript"/>
        </w:rPr>
        <w:t>2</w:t>
      </w:r>
      <w:r>
        <w:t xml:space="preserve"> powierzchni 0,75 zł </w:t>
      </w:r>
    </w:p>
    <w:p w:rsidR="00256164" w:rsidRDefault="00256164" w:rsidP="00256164">
      <w:pPr>
        <w:pStyle w:val="NormalnyWeb"/>
      </w:pPr>
      <w:r>
        <w:lastRenderedPageBreak/>
        <w:t xml:space="preserve">b) pod jeziorami, zajętych na zbiorniki wodne retencyjne lub elektrowni wodnych </w:t>
      </w:r>
    </w:p>
    <w:p w:rsidR="00256164" w:rsidRDefault="00256164" w:rsidP="00256164">
      <w:pPr>
        <w:pStyle w:val="NormalnyWeb"/>
      </w:pPr>
      <w:r>
        <w:t xml:space="preserve">od 1 ha powierzchni 4,55 zł </w:t>
      </w:r>
    </w:p>
    <w:p w:rsidR="00256164" w:rsidRDefault="00256164" w:rsidP="00256164">
      <w:pPr>
        <w:pStyle w:val="Normalny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x08 graphic" style="width:23.8pt;height:23.8pt"/>
        </w:pict>
      </w:r>
    </w:p>
    <w:p w:rsidR="00256164" w:rsidRDefault="00256164" w:rsidP="00256164">
      <w:pPr>
        <w:pStyle w:val="NormalnyWeb"/>
      </w:pPr>
      <w:r>
        <w:rPr>
          <w:vertAlign w:val="superscript"/>
        </w:rPr>
        <w:t>1</w:t>
      </w:r>
      <w:r>
        <w:t xml:space="preserve"> Niniejsza ustawa dokonuje w zakresie swojej regulacji wdrożenia następujących dyrektyw Wspólnot Europejskich: </w:t>
      </w:r>
    </w:p>
    <w:p w:rsidR="00256164" w:rsidRDefault="00256164" w:rsidP="00256164">
      <w:pPr>
        <w:pStyle w:val="NormalnyWeb"/>
      </w:pPr>
      <w:r>
        <w:t>1/ dyrektywy 92/106/ EWG z dnia 7 grudnia 1992 r. w sprawie ustanowienia wspólnych zasad dla niektórych typów transportu</w:t>
      </w:r>
      <w:r>
        <w:br/>
        <w:t>kombinowanego towarów między państwami członkowskimi (</w:t>
      </w:r>
      <w:proofErr w:type="spellStart"/>
      <w:r>
        <w:t>Dz.Urz</w:t>
      </w:r>
      <w:proofErr w:type="spellEnd"/>
      <w:r>
        <w:t xml:space="preserve">. WEL 368 z 17.12.1992r.) </w:t>
      </w:r>
    </w:p>
    <w:p w:rsidR="00256164" w:rsidRDefault="00256164" w:rsidP="00256164">
      <w:pPr>
        <w:pStyle w:val="NormalnyWeb"/>
      </w:pPr>
      <w:r>
        <w:t xml:space="preserve">2/ dyrektywy 1999/ 62/WE z dnia 17 czerwca 1999r. w sprawie pobierania opłat za użytkowanie niektórych typów infrastruktury </w:t>
      </w:r>
      <w:r>
        <w:br/>
        <w:t xml:space="preserve">przez pojazdy ciężarowe (Dz. Urz. WE L 187 z 20.07. 1999) </w:t>
      </w:r>
    </w:p>
    <w:p w:rsidR="00256164" w:rsidRDefault="00256164" w:rsidP="00256164">
      <w:pPr>
        <w:pStyle w:val="NormalnyWeb"/>
      </w:pPr>
      <w:r>
        <w:t xml:space="preserve">Dane dotyczące ogłoszenia aktów prawa Unii Europejskiej, zamieszczone w niniejszej ustawie - z dniem uzyskania przez Rzeczpospolitą Polską członkostwa w Unii Europejskiej - dotyczą ogłoszenia tych aktów w Dzienniku Urzędowym Unii Europejskiej - wydanie specjalne. </w:t>
      </w:r>
    </w:p>
    <w:p w:rsidR="00256164" w:rsidRDefault="00256164" w:rsidP="00256164">
      <w:pPr>
        <w:pStyle w:val="NormalnyWeb"/>
      </w:pPr>
      <w:r>
        <w:t xml:space="preserve">c) pozostałych, w tym zajętych na prowadzenie odpłatnej statutowej działalności </w:t>
      </w:r>
    </w:p>
    <w:p w:rsidR="00256164" w:rsidRDefault="00256164" w:rsidP="00256164">
      <w:pPr>
        <w:pStyle w:val="NormalnyWeb"/>
      </w:pPr>
      <w:r>
        <w:t xml:space="preserve">pożytku publicznego przez organizacje pożytku publicznego </w:t>
      </w:r>
    </w:p>
    <w:p w:rsidR="00256164" w:rsidRDefault="00256164" w:rsidP="00256164">
      <w:pPr>
        <w:pStyle w:val="NormalnyWeb"/>
      </w:pPr>
      <w:r>
        <w:t>od 1 m</w:t>
      </w:r>
      <w:r>
        <w:rPr>
          <w:vertAlign w:val="superscript"/>
        </w:rPr>
        <w:t>2</w:t>
      </w:r>
      <w:r>
        <w:t xml:space="preserve"> powierzchni 0,27 zł </w:t>
      </w:r>
    </w:p>
    <w:p w:rsidR="00256164" w:rsidRDefault="00256164" w:rsidP="00256164">
      <w:pPr>
        <w:pStyle w:val="NormalnyWeb"/>
      </w:pPr>
      <w:r>
        <w:rPr>
          <w:b/>
          <w:bCs/>
        </w:rPr>
        <w:t>§ 2.1.</w:t>
      </w:r>
      <w:r>
        <w:t xml:space="preserve"> Zarządza się pobór podatku od nieruchomości od osób fizycznych w drodze inkasa. </w:t>
      </w:r>
    </w:p>
    <w:p w:rsidR="00256164" w:rsidRDefault="00256164" w:rsidP="00256164">
      <w:pPr>
        <w:pStyle w:val="NormalnyWeb"/>
      </w:pPr>
      <w:r>
        <w:rPr>
          <w:b/>
          <w:bCs/>
        </w:rPr>
        <w:t>2.</w:t>
      </w:r>
      <w:r>
        <w:t xml:space="preserve"> Inkasentów do poboru tego podatku oraz wysokości wynagrodzenia za inkaso określa odrębna uchwała Rady Gminy. </w:t>
      </w:r>
    </w:p>
    <w:p w:rsidR="00256164" w:rsidRDefault="00256164" w:rsidP="00256164">
      <w:pPr>
        <w:pStyle w:val="NormalnyWeb"/>
      </w:pPr>
      <w:r>
        <w:rPr>
          <w:b/>
          <w:bCs/>
        </w:rPr>
        <w:t>§ 3</w:t>
      </w:r>
      <w:r>
        <w:t xml:space="preserve">. Wykonanie uchwały powierza się Wójtowi Gminy Nowogródek Pomorski. </w:t>
      </w:r>
    </w:p>
    <w:p w:rsidR="00256164" w:rsidRDefault="00256164" w:rsidP="00256164">
      <w:pPr>
        <w:pStyle w:val="NormalnyWeb"/>
      </w:pPr>
      <w:r>
        <w:rPr>
          <w:b/>
          <w:bCs/>
        </w:rPr>
        <w:t xml:space="preserve">§ 4. </w:t>
      </w:r>
      <w:r>
        <w:t xml:space="preserve">Traci moc Uchwała Nr XVIII/110/12 Rady Gminy Nowogródek Pomorski z dnia 21 listopada 2012 r. w sprawie określenia wysokości stawek podatku od nieruchomości </w:t>
      </w:r>
      <w:r>
        <w:br/>
        <w:t xml:space="preserve">na 2013 rok (Dz. Urz. Woj. Zachodniopomorskiego poz. 3110). </w:t>
      </w:r>
    </w:p>
    <w:p w:rsidR="00256164" w:rsidRDefault="00256164" w:rsidP="00256164">
      <w:pPr>
        <w:pStyle w:val="NormalnyWeb"/>
      </w:pPr>
      <w:r>
        <w:rPr>
          <w:b/>
          <w:bCs/>
        </w:rPr>
        <w:t xml:space="preserve">§ 5. </w:t>
      </w:r>
      <w:r>
        <w:t xml:space="preserve">Uchwała wchodzi w życie po upływie 14 dni od dnia ogłoszenia w Dzienniku Urzędowym Województwa Zachodniopomorskiego z mocą obowiązującą od dnia 1 stycznia 2014 roku. </w:t>
      </w:r>
    </w:p>
    <w:p w:rsidR="00256164" w:rsidRDefault="00256164" w:rsidP="00256164">
      <w:pPr>
        <w:pStyle w:val="NormalnyWeb"/>
        <w:jc w:val="right"/>
      </w:pPr>
      <w:r>
        <w:t xml:space="preserve">Przewodniczący Rady Gminy </w:t>
      </w:r>
    </w:p>
    <w:p w:rsidR="00256164" w:rsidRDefault="00256164" w:rsidP="00256164">
      <w:pPr>
        <w:pStyle w:val="NormalnyWeb"/>
        <w:jc w:val="right"/>
      </w:pPr>
      <w:r>
        <w:t xml:space="preserve">Robert Rzeźnicki </w:t>
      </w:r>
    </w:p>
    <w:p w:rsidR="00F96925" w:rsidRDefault="00F96925"/>
    <w:sectPr w:rsidR="00F9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256164"/>
    <w:rsid w:val="00256164"/>
    <w:rsid w:val="00F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2019-12-23T07:17:00Z</dcterms:created>
  <dcterms:modified xsi:type="dcterms:W3CDTF">2019-12-23T07:17:00Z</dcterms:modified>
</cp:coreProperties>
</file>